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68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688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Fernandez Jose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STEPSTONE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 PARK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StepStone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Operating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10172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jc w:val="center"/>
              <w:ind w:left="5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28,324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47.9</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173,966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56,176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48.57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117,790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12,117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49.78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105,673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3,383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50.59</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102,290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85,200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46.41</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17,090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14,800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47.33</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2,290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rPr>
              <w:t>06/03/2026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2,290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16,538</w:t>
            </w:r>
            <w:r>
              <w:rPr>
                <w:rFonts w:ascii="Times New Roman" w:cs="Times New Roman" w:eastAsia="Times New Roman" w:hAnsi="Times New Roman"/>
                <w:sz w:val="22"/>
                <w:szCs w:val="22"/>
                <w:color w:val="008000"/>
                <w:w w:val="93"/>
                <w:vertAlign w:val="superscript"/>
              </w:rPr>
              <w:t>(8)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3,016,601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Santaluz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1,605,500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$47.25 to $48.24. The price reported above reflects the weighted average sales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$48.25 to $49.18. The price reported above reflects the weighted average sales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$49.31 to $50.29. The price reported above reflects the weighted average sales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jc w:val="both"/>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$50.31 to $50.93. The price reported above reflects the weighted average sales price. The reporting person hereby undertakes to provide upon request to the SEC staff, the Issuer or a security holder of the Issuer full information regarding the number of shares and prices at which the transaction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was effected.</w:t>
      </w:r>
    </w:p>
    <w:p>
      <w:pPr>
        <w:spacing w:after="0" w:line="50" w:lineRule="exact"/>
        <w:rPr>
          <w:sz w:val="20"/>
          <w:szCs w:val="20"/>
          <w:color w:val="auto"/>
        </w:rPr>
      </w:pPr>
    </w:p>
    <w:p>
      <w:pPr>
        <w:jc w:val="both"/>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$46.00 to $46.99. The price reported above reflects the weighted average sales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in multiple trades at prices ranging from $47.00 to $47.76. The price reported above reflects the weighted average sales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right="3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at a price of $42.64.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16,538 shares of Class A Common Stock reported as held directly reflect the correction of a clerical error in the Reporting Person's Form 4 filed on March 17, 2026, which was carried forward on the Reporting Person's Form 4 filed on April 2, 2026. Both filings inadvertently reported 2,290 shares as held directly that had previously been transferred to the Fernandez Family Trust. The correct balances at the time of those filings were 16,538 shares held directly and 2,290 shares held indirectly through the Trust (March 17, 2026 filing) and 16,538 shares held directly and 202,290 shares held indirectly through the Trust (April 2, 2026 filing). Total beneficial ownership was correctly reported on both prior filings.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Jennifer Ishiguro, Attorney-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62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Jose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79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952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2276" TargetMode="External"/><Relationship Id="rId14" Type="http://schemas.openxmlformats.org/officeDocument/2006/relationships/hyperlink" Target="http://www.sec.gov/cgi-bin/browse-edgar?action=getcompany&amp;CIK=0001796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2026-06-03T18:11:06Z</dcterms:created>
  <dcterms:modified xsi:type="dcterms:W3CDTF">2026-06-03T18:11:06Z</dcterms:modified>
</cp:coreProperties>
</file>